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828C" w14:textId="35595D19" w:rsidR="004949E6" w:rsidRDefault="004813F4" w:rsidP="004813F4">
      <w:pPr>
        <w:tabs>
          <w:tab w:val="left" w:pos="5790"/>
        </w:tabs>
        <w:spacing w:after="0" w:line="240" w:lineRule="auto"/>
      </w:pPr>
      <w:r>
        <w:tab/>
      </w:r>
    </w:p>
    <w:p w14:paraId="59262B9F" w14:textId="77777777" w:rsidR="00485465" w:rsidRDefault="00485465" w:rsidP="00485465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DIP. </w:t>
      </w:r>
      <w:r w:rsidR="00E30DE8">
        <w:rPr>
          <w:b/>
          <w:sz w:val="28"/>
        </w:rPr>
        <w:t>MARIO ALEJANDRO CUEVAS MENA</w:t>
      </w:r>
    </w:p>
    <w:p w14:paraId="286448DB" w14:textId="77777777" w:rsidR="00485465" w:rsidRDefault="00E30DE8" w:rsidP="00485465">
      <w:pPr>
        <w:spacing w:after="0" w:line="240" w:lineRule="auto"/>
        <w:rPr>
          <w:b/>
          <w:sz w:val="28"/>
        </w:rPr>
      </w:pPr>
      <w:r>
        <w:rPr>
          <w:b/>
          <w:sz w:val="28"/>
        </w:rPr>
        <w:t>PRESIDENTE</w:t>
      </w:r>
      <w:r w:rsidR="00485465">
        <w:rPr>
          <w:b/>
          <w:sz w:val="28"/>
        </w:rPr>
        <w:t xml:space="preserve"> DE LA MESA DIRECTIVA</w:t>
      </w:r>
    </w:p>
    <w:p w14:paraId="2A4BC816" w14:textId="77777777" w:rsidR="00485465" w:rsidRDefault="00485465" w:rsidP="00485465">
      <w:pPr>
        <w:spacing w:after="0" w:line="240" w:lineRule="auto"/>
        <w:rPr>
          <w:b/>
          <w:sz w:val="28"/>
        </w:rPr>
      </w:pPr>
      <w:r>
        <w:rPr>
          <w:b/>
          <w:sz w:val="28"/>
        </w:rPr>
        <w:t>DEL H. CONGRESO DEL ESTADO DE YUCATÁN.</w:t>
      </w:r>
    </w:p>
    <w:p w14:paraId="3847B541" w14:textId="77777777" w:rsidR="00485465" w:rsidRPr="0074438E" w:rsidRDefault="00485465" w:rsidP="0048546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4438E">
        <w:rPr>
          <w:rFonts w:ascii="Arial" w:eastAsia="Calibri" w:hAnsi="Arial" w:cs="Arial"/>
          <w:sz w:val="24"/>
          <w:szCs w:val="24"/>
        </w:rPr>
        <w:tab/>
      </w:r>
    </w:p>
    <w:p w14:paraId="32016079" w14:textId="77777777" w:rsidR="004949E6" w:rsidRDefault="00485465" w:rsidP="004949E6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  <w:lang w:eastAsia="es-MX"/>
        </w:rPr>
      </w:pPr>
      <w:r w:rsidRPr="00584A12">
        <w:rPr>
          <w:rFonts w:ascii="Arial" w:eastAsia="Calibri" w:hAnsi="Arial" w:cs="Arial"/>
          <w:sz w:val="26"/>
          <w:szCs w:val="26"/>
          <w:lang w:eastAsia="es-MX"/>
        </w:rPr>
        <w:t xml:space="preserve">Con fundamento en lo establecido por los artículos 35 fracción I de la Constitución Política del Estado de Yucatán; 16 y 22 fracción VI de la Ley de Gobierno del Poder Legislativo y 68 y 69 del Reglamento de la Ley de Gobierno del Poder Legislativo, ambos del Estado de Yucatán, </w:t>
      </w:r>
      <w:r w:rsidR="00E353D1" w:rsidRPr="00E353D1">
        <w:rPr>
          <w:rFonts w:ascii="Arial" w:eastAsia="Calibri" w:hAnsi="Arial" w:cs="Arial"/>
          <w:sz w:val="26"/>
          <w:szCs w:val="26"/>
          <w:lang w:eastAsia="es-MX"/>
        </w:rPr>
        <w:t>suscribe Diputada Naomi Raquel Peniche López, en representación de las diputa</w:t>
      </w:r>
      <w:r w:rsidR="00E353D1">
        <w:rPr>
          <w:rFonts w:ascii="Arial" w:eastAsia="Calibri" w:hAnsi="Arial" w:cs="Arial"/>
          <w:sz w:val="26"/>
          <w:szCs w:val="26"/>
          <w:lang w:eastAsia="es-MX"/>
        </w:rPr>
        <w:t>da</w:t>
      </w:r>
      <w:r w:rsidR="00E353D1" w:rsidRPr="00E353D1">
        <w:rPr>
          <w:rFonts w:ascii="Arial" w:eastAsia="Calibri" w:hAnsi="Arial" w:cs="Arial"/>
          <w:sz w:val="26"/>
          <w:szCs w:val="26"/>
          <w:lang w:eastAsia="es-MX"/>
        </w:rPr>
        <w:t>s y diputados de la Fracción Legislativa del Partido de Movimiento de Regeneración Nacional (MORENA), del Partido del Trabajo y del Partido Verde Ecologista de México, presentamos a la consideración de esta Honorable Soberanía</w:t>
      </w:r>
      <w:r w:rsidRPr="00584A12">
        <w:rPr>
          <w:rFonts w:ascii="Arial" w:eastAsia="Calibri" w:hAnsi="Arial" w:cs="Arial"/>
          <w:sz w:val="26"/>
          <w:szCs w:val="26"/>
          <w:lang w:eastAsia="es-MX"/>
        </w:rPr>
        <w:t xml:space="preserve">, la iniciativa con </w:t>
      </w:r>
      <w:r w:rsidR="00E30DE8" w:rsidRPr="00E30DE8">
        <w:rPr>
          <w:rFonts w:ascii="Arial" w:eastAsia="Calibri" w:hAnsi="Arial" w:cs="Arial"/>
          <w:b/>
          <w:bCs/>
          <w:sz w:val="26"/>
          <w:szCs w:val="26"/>
          <w:lang w:eastAsia="es-MX"/>
        </w:rPr>
        <w:t xml:space="preserve">PROYECTO DE DECRETO POR EL QUE SE </w:t>
      </w:r>
      <w:r w:rsidR="00E30DE8">
        <w:rPr>
          <w:rFonts w:ascii="Arial" w:eastAsia="Calibri" w:hAnsi="Arial" w:cs="Arial"/>
          <w:b/>
          <w:bCs/>
          <w:sz w:val="26"/>
          <w:szCs w:val="26"/>
          <w:lang w:eastAsia="es-MX"/>
        </w:rPr>
        <w:t xml:space="preserve">REFORMAN EL ARTÍCULO 20 Y EL ARTÍCULO 61 AMBOS DE </w:t>
      </w:r>
      <w:r w:rsidR="00E30DE8" w:rsidRPr="00E30DE8">
        <w:rPr>
          <w:rFonts w:ascii="Arial" w:eastAsia="Calibri" w:hAnsi="Arial" w:cs="Arial"/>
          <w:b/>
          <w:bCs/>
          <w:sz w:val="26"/>
          <w:szCs w:val="26"/>
          <w:lang w:eastAsia="es-MX"/>
        </w:rPr>
        <w:t xml:space="preserve">LA LEY DE ACCESO DE LAS MUJERES A UNA VIDA LIBRE DE </w:t>
      </w:r>
      <w:r w:rsidR="00E30DE8">
        <w:rPr>
          <w:rFonts w:ascii="Arial" w:eastAsia="Calibri" w:hAnsi="Arial" w:cs="Arial"/>
          <w:b/>
          <w:bCs/>
          <w:sz w:val="26"/>
          <w:szCs w:val="26"/>
          <w:lang w:eastAsia="es-MX"/>
        </w:rPr>
        <w:t>VIOLENCIA DEL ESTADO DE YUCATAN, en materia de libertad económica de las mujeres víctimas de violencia</w:t>
      </w:r>
      <w:r w:rsidR="002904E5">
        <w:rPr>
          <w:rFonts w:ascii="Arial" w:eastAsia="Calibri" w:hAnsi="Arial" w:cs="Arial"/>
          <w:b/>
          <w:bCs/>
          <w:sz w:val="26"/>
          <w:szCs w:val="26"/>
          <w:lang w:eastAsia="es-MX"/>
        </w:rPr>
        <w:t xml:space="preserve"> </w:t>
      </w:r>
      <w:r w:rsidRPr="00584A12">
        <w:rPr>
          <w:rFonts w:ascii="Arial" w:eastAsia="Calibri" w:hAnsi="Arial" w:cs="Arial"/>
          <w:sz w:val="26"/>
          <w:szCs w:val="26"/>
          <w:lang w:eastAsia="es-MX"/>
        </w:rPr>
        <w:t>al tenor de la siguiente:</w:t>
      </w:r>
    </w:p>
    <w:p w14:paraId="79DEBDF9" w14:textId="77777777" w:rsidR="003F29BB" w:rsidRPr="004949E6" w:rsidRDefault="003F29BB" w:rsidP="004949E6">
      <w:pPr>
        <w:spacing w:after="0" w:line="360" w:lineRule="auto"/>
        <w:jc w:val="both"/>
        <w:rPr>
          <w:rFonts w:ascii="Arial" w:eastAsia="Calibri" w:hAnsi="Arial" w:cs="Arial"/>
          <w:b/>
          <w:bCs/>
          <w:sz w:val="26"/>
          <w:szCs w:val="26"/>
          <w:lang w:eastAsia="es-MX"/>
        </w:rPr>
      </w:pPr>
    </w:p>
    <w:p w14:paraId="712AE640" w14:textId="77777777" w:rsidR="00C125C4" w:rsidRDefault="00485465" w:rsidP="004949E6">
      <w:pPr>
        <w:spacing w:after="0" w:line="360" w:lineRule="auto"/>
        <w:jc w:val="center"/>
        <w:rPr>
          <w:rFonts w:ascii="Arial" w:eastAsia="Calibri" w:hAnsi="Arial" w:cs="Arial"/>
          <w:b/>
          <w:sz w:val="25"/>
          <w:szCs w:val="25"/>
        </w:rPr>
      </w:pPr>
      <w:r w:rsidRPr="00441DE2">
        <w:rPr>
          <w:rFonts w:ascii="Arial" w:eastAsia="Calibri" w:hAnsi="Arial" w:cs="Arial"/>
          <w:b/>
          <w:sz w:val="25"/>
          <w:szCs w:val="25"/>
        </w:rPr>
        <w:t>EXPOSICION DE MOTIVOS</w:t>
      </w:r>
    </w:p>
    <w:p w14:paraId="15D01B91" w14:textId="77777777" w:rsidR="003F29BB" w:rsidRPr="004949E6" w:rsidRDefault="003F29BB" w:rsidP="004949E6">
      <w:pPr>
        <w:spacing w:after="0" w:line="360" w:lineRule="auto"/>
        <w:jc w:val="center"/>
        <w:rPr>
          <w:rFonts w:ascii="Arial" w:eastAsia="Calibri" w:hAnsi="Arial" w:cs="Arial"/>
          <w:b/>
          <w:sz w:val="25"/>
          <w:szCs w:val="25"/>
        </w:rPr>
      </w:pPr>
    </w:p>
    <w:p w14:paraId="6BBE35F5" w14:textId="77777777" w:rsidR="003F29BB" w:rsidRPr="003F29BB" w:rsidRDefault="003F29BB" w:rsidP="003F29BB">
      <w:pPr>
        <w:spacing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3F29BB">
        <w:rPr>
          <w:rFonts w:ascii="Arial" w:eastAsia="Calibri" w:hAnsi="Arial" w:cs="Arial"/>
          <w:sz w:val="26"/>
          <w:szCs w:val="26"/>
        </w:rPr>
        <w:t xml:space="preserve">Sabemos que la violencia contra las mujeres puede presentarse de muchas maneras, física, psicológica, sexual, económica, entre otras. Y, aunque las cifras disminuyen, estas siguen siendo estremecedoras y el camino para garantizar la seguridad de todas sigue siendo muy largo. </w:t>
      </w:r>
    </w:p>
    <w:p w14:paraId="7B28DF40" w14:textId="77777777" w:rsidR="003F29BB" w:rsidRPr="003F29BB" w:rsidRDefault="003F29BB" w:rsidP="003F29BB">
      <w:pPr>
        <w:spacing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3F29BB">
        <w:rPr>
          <w:rFonts w:ascii="Arial" w:eastAsia="Calibri" w:hAnsi="Arial" w:cs="Arial"/>
          <w:sz w:val="26"/>
          <w:szCs w:val="26"/>
        </w:rPr>
        <w:lastRenderedPageBreak/>
        <w:t>Factores como los estereotipos de género y políticas públicas insuficientes perpetúan estas desigualdades, limitando su autonomía y el acceso a oportunidades dignas de empleo, lo que muchas veces las hace dependientes económicamente de sus parejas.</w:t>
      </w:r>
    </w:p>
    <w:p w14:paraId="6A09A624" w14:textId="77777777" w:rsidR="004566DC" w:rsidRDefault="004566DC" w:rsidP="00BE1903">
      <w:pPr>
        <w:spacing w:line="360" w:lineRule="auto"/>
        <w:jc w:val="center"/>
        <w:rPr>
          <w:rFonts w:ascii="Arial" w:eastAsia="Calibri" w:hAnsi="Arial" w:cs="Arial"/>
          <w:sz w:val="26"/>
          <w:szCs w:val="26"/>
        </w:rPr>
      </w:pPr>
    </w:p>
    <w:p w14:paraId="0F3791B7" w14:textId="77777777" w:rsidR="003F29BB" w:rsidRPr="003F29BB" w:rsidRDefault="003F29BB" w:rsidP="003F29BB">
      <w:pPr>
        <w:spacing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3F29BB">
        <w:rPr>
          <w:rFonts w:ascii="Arial" w:eastAsia="Calibri" w:hAnsi="Arial" w:cs="Arial"/>
          <w:sz w:val="26"/>
          <w:szCs w:val="26"/>
        </w:rPr>
        <w:t xml:space="preserve">A menudo, los informes y estudios hablan exclusivamente del maltrato físico, psicológico y sexual. Pero a la violencia de género hay que sumarle el aspecto económico, del que ya hoy se empieza a hablar. </w:t>
      </w:r>
    </w:p>
    <w:p w14:paraId="61DDDCC4" w14:textId="77777777" w:rsidR="003F29BB" w:rsidRPr="003F29BB" w:rsidRDefault="003F29BB" w:rsidP="003F29BB">
      <w:pPr>
        <w:spacing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3F29BB">
        <w:rPr>
          <w:rFonts w:ascii="Arial" w:eastAsia="Calibri" w:hAnsi="Arial" w:cs="Arial"/>
          <w:sz w:val="26"/>
          <w:szCs w:val="26"/>
        </w:rPr>
        <w:t xml:space="preserve">De acuerdo con datos del Instituto Nacional de Estadística y Geografía (INEGI), dos de cada 10 mujeres en México, reportan vivir </w:t>
      </w:r>
      <w:r w:rsidR="00D241BA">
        <w:rPr>
          <w:rFonts w:ascii="Arial" w:eastAsia="Calibri" w:hAnsi="Arial" w:cs="Arial"/>
          <w:sz w:val="26"/>
          <w:szCs w:val="26"/>
        </w:rPr>
        <w:t>además de violencia física, violencia económica</w:t>
      </w:r>
      <w:r w:rsidRPr="003F29BB">
        <w:rPr>
          <w:rFonts w:ascii="Arial" w:eastAsia="Calibri" w:hAnsi="Arial" w:cs="Arial"/>
          <w:sz w:val="26"/>
          <w:szCs w:val="26"/>
        </w:rPr>
        <w:t xml:space="preserve">. Esto, sin considerar que el dato puede estar subestimado debido a la carente información sobre este tipo de violencia. A pesar de que la violencia económica ha disminuido durante los últimos años, es el segundo tipo de violencia con mayor prevalencia entre las parejas, </w:t>
      </w:r>
      <w:r>
        <w:rPr>
          <w:rFonts w:ascii="Arial" w:eastAsia="Calibri" w:hAnsi="Arial" w:cs="Arial"/>
          <w:sz w:val="26"/>
          <w:szCs w:val="26"/>
        </w:rPr>
        <w:t>solo después de la psicológica.</w:t>
      </w:r>
      <w:r w:rsidR="00946478">
        <w:rPr>
          <w:rFonts w:ascii="Arial" w:eastAsia="Calibri" w:hAnsi="Arial" w:cs="Arial"/>
          <w:sz w:val="26"/>
          <w:szCs w:val="26"/>
        </w:rPr>
        <w:t xml:space="preserve"> </w:t>
      </w:r>
    </w:p>
    <w:p w14:paraId="176B2964" w14:textId="77777777" w:rsidR="003F29BB" w:rsidRDefault="003F29BB" w:rsidP="003F29BB">
      <w:pPr>
        <w:spacing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3F29BB">
        <w:rPr>
          <w:rFonts w:ascii="Arial" w:eastAsia="Calibri" w:hAnsi="Arial" w:cs="Arial"/>
          <w:sz w:val="26"/>
          <w:szCs w:val="26"/>
        </w:rPr>
        <w:t>La violencia económica</w:t>
      </w:r>
      <w:r w:rsidR="00D241BA">
        <w:rPr>
          <w:rFonts w:ascii="Arial" w:eastAsia="Calibri" w:hAnsi="Arial" w:cs="Arial"/>
          <w:sz w:val="26"/>
          <w:szCs w:val="26"/>
        </w:rPr>
        <w:t>, como tal,</w:t>
      </w:r>
      <w:r w:rsidRPr="003F29BB">
        <w:rPr>
          <w:rFonts w:ascii="Arial" w:eastAsia="Calibri" w:hAnsi="Arial" w:cs="Arial"/>
          <w:sz w:val="26"/>
          <w:szCs w:val="26"/>
        </w:rPr>
        <w:t xml:space="preserve"> usualmente se repro</w:t>
      </w:r>
      <w:r w:rsidR="0076494E">
        <w:rPr>
          <w:rFonts w:ascii="Arial" w:eastAsia="Calibri" w:hAnsi="Arial" w:cs="Arial"/>
          <w:sz w:val="26"/>
          <w:szCs w:val="26"/>
        </w:rPr>
        <w:t>duce dentro del ámbito familiar, e</w:t>
      </w:r>
      <w:r w:rsidRPr="003F29BB">
        <w:rPr>
          <w:rFonts w:ascii="Arial" w:eastAsia="Calibri" w:hAnsi="Arial" w:cs="Arial"/>
          <w:sz w:val="26"/>
          <w:szCs w:val="26"/>
        </w:rPr>
        <w:t>n el caso de las parejas tiende a ser ejercida por la pe</w:t>
      </w:r>
      <w:r>
        <w:rPr>
          <w:rFonts w:ascii="Arial" w:eastAsia="Calibri" w:hAnsi="Arial" w:cs="Arial"/>
          <w:sz w:val="26"/>
          <w:szCs w:val="26"/>
        </w:rPr>
        <w:t>rsona con el control económico, quienes suelen ser hombres</w:t>
      </w:r>
      <w:r w:rsidRPr="003F29BB">
        <w:rPr>
          <w:rFonts w:ascii="Arial" w:eastAsia="Calibri" w:hAnsi="Arial" w:cs="Arial"/>
          <w:sz w:val="26"/>
          <w:szCs w:val="26"/>
        </w:rPr>
        <w:t xml:space="preserve">, lo que resulta en un </w:t>
      </w:r>
      <w:r>
        <w:rPr>
          <w:rFonts w:ascii="Arial" w:eastAsia="Calibri" w:hAnsi="Arial" w:cs="Arial"/>
          <w:sz w:val="26"/>
          <w:szCs w:val="26"/>
        </w:rPr>
        <w:t>motivo</w:t>
      </w:r>
      <w:r w:rsidRPr="003F29BB">
        <w:rPr>
          <w:rFonts w:ascii="Arial" w:eastAsia="Calibri" w:hAnsi="Arial" w:cs="Arial"/>
          <w:sz w:val="26"/>
          <w:szCs w:val="26"/>
        </w:rPr>
        <w:t xml:space="preserve"> de control hacia las mujeres y se acentúa cuando ellas dependen económicamente de su pareja. Algunas manifestaciones de esta violencia son: limitar las decisiones sobre los gastos del hogar, condicionar el gasto o exigir cuentas, aun si ella tiene sus propios ingresos. A pesar de que estas acciones pueden parecer sutiles, para nada son menores, ya que la violencia </w:t>
      </w:r>
      <w:r w:rsidRPr="003F29BB">
        <w:rPr>
          <w:rFonts w:ascii="Arial" w:eastAsia="Calibri" w:hAnsi="Arial" w:cs="Arial"/>
          <w:sz w:val="26"/>
          <w:szCs w:val="26"/>
        </w:rPr>
        <w:lastRenderedPageBreak/>
        <w:t>económica puede tener repercusiones en la autonomía de las mujeres o propiciar otros tipos</w:t>
      </w:r>
      <w:r>
        <w:rPr>
          <w:rFonts w:ascii="Arial" w:eastAsia="Calibri" w:hAnsi="Arial" w:cs="Arial"/>
          <w:sz w:val="26"/>
          <w:szCs w:val="26"/>
        </w:rPr>
        <w:t xml:space="preserve"> de violencia dentro del hogar.</w:t>
      </w:r>
    </w:p>
    <w:p w14:paraId="051FA12C" w14:textId="77777777" w:rsidR="00D241BA" w:rsidRDefault="00D241BA" w:rsidP="003F29BB">
      <w:pPr>
        <w:spacing w:line="36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Cuantas historias no conocemos de mujeres que huyen de sus hogares porque es la única manera de salvar sus vidas, acuden a los albergues temporales en donde se les brinda la atención adecuada para </w:t>
      </w:r>
      <w:r w:rsidR="007814A7">
        <w:rPr>
          <w:rFonts w:ascii="Arial" w:eastAsia="Calibri" w:hAnsi="Arial" w:cs="Arial"/>
          <w:sz w:val="26"/>
          <w:szCs w:val="26"/>
        </w:rPr>
        <w:t xml:space="preserve">protegerlas y apoyarlas. Sin embargo, una vez estando ahí, ante la falta de una red de apoyo y de oportunidades, un nuevo miedo surge y una serie de interrogantes llega a sus pensamientos: ¿de qué voy a vivir? ¿Cómo voy a comer? ¿De qué voy a trabajar sino termine la escuela o </w:t>
      </w:r>
      <w:r w:rsidR="003F199B">
        <w:rPr>
          <w:rFonts w:ascii="Arial" w:eastAsia="Calibri" w:hAnsi="Arial" w:cs="Arial"/>
          <w:sz w:val="26"/>
          <w:szCs w:val="26"/>
        </w:rPr>
        <w:t xml:space="preserve">como voy a mantener a mis hijos, </w:t>
      </w:r>
      <w:r w:rsidR="007814A7">
        <w:rPr>
          <w:rFonts w:ascii="Arial" w:eastAsia="Calibri" w:hAnsi="Arial" w:cs="Arial"/>
          <w:sz w:val="26"/>
          <w:szCs w:val="26"/>
        </w:rPr>
        <w:t>con quien voy a dejar a mis hijos?</w:t>
      </w:r>
    </w:p>
    <w:p w14:paraId="2976BF2C" w14:textId="77777777" w:rsidR="002D0E20" w:rsidRDefault="002D0E20" w:rsidP="003F29BB">
      <w:pPr>
        <w:spacing w:line="360" w:lineRule="auto"/>
        <w:jc w:val="both"/>
        <w:rPr>
          <w:rFonts w:ascii="Arial" w:eastAsia="Calibri" w:hAnsi="Arial" w:cs="Arial"/>
          <w:sz w:val="26"/>
          <w:szCs w:val="26"/>
        </w:rPr>
      </w:pPr>
    </w:p>
    <w:p w14:paraId="4B90B893" w14:textId="77777777" w:rsidR="007814A7" w:rsidRDefault="007814A7" w:rsidP="003F29BB">
      <w:pPr>
        <w:spacing w:line="36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Es ahí cuando el miedo y la incertidumbre se apodera</w:t>
      </w:r>
      <w:r w:rsidR="003F199B">
        <w:rPr>
          <w:rFonts w:ascii="Arial" w:eastAsia="Calibri" w:hAnsi="Arial" w:cs="Arial"/>
          <w:sz w:val="26"/>
          <w:szCs w:val="26"/>
        </w:rPr>
        <w:t>n</w:t>
      </w:r>
      <w:r>
        <w:rPr>
          <w:rFonts w:ascii="Arial" w:eastAsia="Calibri" w:hAnsi="Arial" w:cs="Arial"/>
          <w:sz w:val="26"/>
          <w:szCs w:val="26"/>
        </w:rPr>
        <w:t xml:space="preserve"> de ellas y algunas de esas mujeres no encuentran </w:t>
      </w:r>
      <w:r w:rsidR="003F199B">
        <w:rPr>
          <w:rFonts w:ascii="Arial" w:eastAsia="Calibri" w:hAnsi="Arial" w:cs="Arial"/>
          <w:sz w:val="26"/>
          <w:szCs w:val="26"/>
        </w:rPr>
        <w:t>otra</w:t>
      </w:r>
      <w:r>
        <w:rPr>
          <w:rFonts w:ascii="Arial" w:eastAsia="Calibri" w:hAnsi="Arial" w:cs="Arial"/>
          <w:sz w:val="26"/>
          <w:szCs w:val="26"/>
        </w:rPr>
        <w:t xml:space="preserve"> solución </w:t>
      </w:r>
      <w:r w:rsidR="003F199B">
        <w:rPr>
          <w:rFonts w:ascii="Arial" w:eastAsia="Calibri" w:hAnsi="Arial" w:cs="Arial"/>
          <w:sz w:val="26"/>
          <w:szCs w:val="26"/>
        </w:rPr>
        <w:t xml:space="preserve">más que regresar con sus agresores. Quizá para muchos de nosotros suene absurdo, pero esto sucede ante la falta de oportunidades, de espacios para aprender algún oficio o trabajo, de conocimientos para emprender un pequeño negocio, muchas de estas mujeres desconocen sus derechos y viven con miedo de que no puedan salir adelante. </w:t>
      </w:r>
    </w:p>
    <w:p w14:paraId="0A05C515" w14:textId="77777777" w:rsidR="007814A7" w:rsidRDefault="003F199B" w:rsidP="003F29BB">
      <w:pPr>
        <w:spacing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3F199B">
        <w:rPr>
          <w:rFonts w:ascii="Arial" w:eastAsia="Calibri" w:hAnsi="Arial" w:cs="Arial"/>
          <w:sz w:val="26"/>
          <w:szCs w:val="26"/>
        </w:rPr>
        <w:t>Las condiciones de vulnerabilidad y de riesgo pueden revertirse cuando las mujeres tienen acceso a los medios y a los recursos para construir y decidir el rumbo de sus propias</w:t>
      </w:r>
      <w:r w:rsidR="00605CEA">
        <w:rPr>
          <w:rFonts w:ascii="Arial" w:eastAsia="Calibri" w:hAnsi="Arial" w:cs="Arial"/>
          <w:sz w:val="26"/>
          <w:szCs w:val="26"/>
        </w:rPr>
        <w:t xml:space="preserve"> vidas y de las de sus familias.</w:t>
      </w:r>
    </w:p>
    <w:p w14:paraId="1A667CC4" w14:textId="77777777" w:rsidR="00605CEA" w:rsidRDefault="00605CEA" w:rsidP="00F35EF4">
      <w:pPr>
        <w:spacing w:line="36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Es por ello, que con la presente iniciativa se busca </w:t>
      </w:r>
      <w:r w:rsidR="00F35EF4">
        <w:rPr>
          <w:rFonts w:ascii="Arial" w:eastAsia="Calibri" w:hAnsi="Arial" w:cs="Arial"/>
          <w:sz w:val="26"/>
          <w:szCs w:val="26"/>
        </w:rPr>
        <w:t>f</w:t>
      </w:r>
      <w:r w:rsidR="00F35EF4" w:rsidRPr="00F35EF4">
        <w:rPr>
          <w:rFonts w:ascii="Arial" w:eastAsia="Calibri" w:hAnsi="Arial" w:cs="Arial"/>
          <w:sz w:val="26"/>
          <w:szCs w:val="26"/>
        </w:rPr>
        <w:t xml:space="preserve">omentar la impartición de capacitaciones, cursos o talleres en los refugios temporales, para que las </w:t>
      </w:r>
      <w:r w:rsidR="00F35EF4" w:rsidRPr="00F35EF4">
        <w:rPr>
          <w:rFonts w:ascii="Arial" w:eastAsia="Calibri" w:hAnsi="Arial" w:cs="Arial"/>
          <w:sz w:val="26"/>
          <w:szCs w:val="26"/>
        </w:rPr>
        <w:lastRenderedPageBreak/>
        <w:t>mujeres víctimas de violencia puedan adquirir conocimientos para</w:t>
      </w:r>
      <w:r w:rsidR="002C1E37">
        <w:rPr>
          <w:rFonts w:ascii="Arial" w:eastAsia="Calibri" w:hAnsi="Arial" w:cs="Arial"/>
          <w:sz w:val="26"/>
          <w:szCs w:val="26"/>
        </w:rPr>
        <w:t xml:space="preserve"> emprender un negocio,</w:t>
      </w:r>
      <w:r w:rsidR="00F35EF4" w:rsidRPr="00F35EF4">
        <w:rPr>
          <w:rFonts w:ascii="Arial" w:eastAsia="Calibri" w:hAnsi="Arial" w:cs="Arial"/>
          <w:sz w:val="26"/>
          <w:szCs w:val="26"/>
        </w:rPr>
        <w:t xml:space="preserve"> </w:t>
      </w:r>
      <w:r w:rsidR="002C1E37">
        <w:rPr>
          <w:rFonts w:ascii="Arial" w:eastAsia="Calibri" w:hAnsi="Arial" w:cs="Arial"/>
          <w:sz w:val="26"/>
          <w:szCs w:val="26"/>
        </w:rPr>
        <w:t xml:space="preserve">para </w:t>
      </w:r>
      <w:r w:rsidR="00F35EF4" w:rsidRPr="00F35EF4">
        <w:rPr>
          <w:rFonts w:ascii="Arial" w:eastAsia="Calibri" w:hAnsi="Arial" w:cs="Arial"/>
          <w:sz w:val="26"/>
          <w:szCs w:val="26"/>
        </w:rPr>
        <w:t>el desempeño de una actividad laboral</w:t>
      </w:r>
      <w:r w:rsidR="00F35EF4">
        <w:rPr>
          <w:rFonts w:ascii="Arial" w:eastAsia="Calibri" w:hAnsi="Arial" w:cs="Arial"/>
          <w:sz w:val="26"/>
          <w:szCs w:val="26"/>
        </w:rPr>
        <w:t xml:space="preserve"> y con ello su empoderamiento económico.</w:t>
      </w:r>
    </w:p>
    <w:p w14:paraId="68CD1F47" w14:textId="77777777" w:rsidR="002C1E37" w:rsidRDefault="002C1E37" w:rsidP="00F35EF4">
      <w:pPr>
        <w:spacing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2C1E37">
        <w:rPr>
          <w:rFonts w:ascii="Arial" w:eastAsia="Calibri" w:hAnsi="Arial" w:cs="Arial"/>
          <w:sz w:val="26"/>
          <w:szCs w:val="26"/>
        </w:rPr>
        <w:t xml:space="preserve">El emprendimiento es una herramienta clave para que las mujeres escapen de la violencia porque les otorga autonomía económica, que es fundamental para salir de relaciones abusivas debido a la dependencia financiera. </w:t>
      </w:r>
    </w:p>
    <w:p w14:paraId="2035C9DA" w14:textId="77777777" w:rsidR="002D0E20" w:rsidRDefault="002D0E20" w:rsidP="002D0E20">
      <w:pPr>
        <w:spacing w:line="120" w:lineRule="auto"/>
        <w:jc w:val="both"/>
        <w:rPr>
          <w:rFonts w:ascii="Arial" w:eastAsia="Calibri" w:hAnsi="Arial" w:cs="Arial"/>
          <w:sz w:val="26"/>
          <w:szCs w:val="26"/>
        </w:rPr>
      </w:pPr>
    </w:p>
    <w:p w14:paraId="4A8D689E" w14:textId="77777777" w:rsidR="002C1E37" w:rsidRDefault="002C1E37" w:rsidP="00F35EF4">
      <w:pPr>
        <w:spacing w:line="36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Con esta iniciativa podrán </w:t>
      </w:r>
      <w:r w:rsidRPr="002C1E37">
        <w:rPr>
          <w:rFonts w:ascii="Arial" w:eastAsia="Calibri" w:hAnsi="Arial" w:cs="Arial"/>
          <w:sz w:val="26"/>
          <w:szCs w:val="26"/>
        </w:rPr>
        <w:t xml:space="preserve">tener sus propios ingresos, construir un nuevo proyecto de vida y reducir su vulnerabilidad. Además, generan un impacto positivo en su comunidad, ya que muchas emprendedoras comparten sus conocimientos y </w:t>
      </w:r>
      <w:r>
        <w:rPr>
          <w:rFonts w:ascii="Arial" w:eastAsia="Calibri" w:hAnsi="Arial" w:cs="Arial"/>
          <w:sz w:val="26"/>
          <w:szCs w:val="26"/>
        </w:rPr>
        <w:t xml:space="preserve">crean empleo para otras mujeres, que también podrían están viviendo una situación de violencia. </w:t>
      </w:r>
    </w:p>
    <w:p w14:paraId="2DF3469F" w14:textId="77777777" w:rsidR="002C1E37" w:rsidRDefault="002D0E20" w:rsidP="00F35EF4">
      <w:pPr>
        <w:spacing w:line="36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Desde la</w:t>
      </w:r>
      <w:r w:rsidR="002C1E37">
        <w:rPr>
          <w:rFonts w:ascii="Arial" w:eastAsia="Calibri" w:hAnsi="Arial" w:cs="Arial"/>
          <w:sz w:val="26"/>
          <w:szCs w:val="26"/>
        </w:rPr>
        <w:t xml:space="preserve"> fracción legislativa de Morena, </w:t>
      </w:r>
      <w:r>
        <w:rPr>
          <w:rFonts w:ascii="Arial" w:eastAsia="Calibri" w:hAnsi="Arial" w:cs="Arial"/>
          <w:sz w:val="26"/>
          <w:szCs w:val="26"/>
        </w:rPr>
        <w:t>d</w:t>
      </w:r>
      <w:r w:rsidR="002C1E37">
        <w:rPr>
          <w:rFonts w:ascii="Arial" w:eastAsia="Calibri" w:hAnsi="Arial" w:cs="Arial"/>
          <w:sz w:val="26"/>
          <w:szCs w:val="26"/>
        </w:rPr>
        <w:t xml:space="preserve">el Partido del Trabajo y </w:t>
      </w:r>
      <w:r>
        <w:rPr>
          <w:rFonts w:ascii="Arial" w:eastAsia="Calibri" w:hAnsi="Arial" w:cs="Arial"/>
          <w:sz w:val="26"/>
          <w:szCs w:val="26"/>
        </w:rPr>
        <w:t>d</w:t>
      </w:r>
      <w:r w:rsidR="002C1E37">
        <w:rPr>
          <w:rFonts w:ascii="Arial" w:eastAsia="Calibri" w:hAnsi="Arial" w:cs="Arial"/>
          <w:sz w:val="26"/>
          <w:szCs w:val="26"/>
        </w:rPr>
        <w:t xml:space="preserve">el Partido Verde de México, tenemos </w:t>
      </w:r>
      <w:r>
        <w:rPr>
          <w:rFonts w:ascii="Arial" w:eastAsia="Calibri" w:hAnsi="Arial" w:cs="Arial"/>
          <w:sz w:val="26"/>
          <w:szCs w:val="26"/>
        </w:rPr>
        <w:t>el firme compromiso de seguir trabajando en favor de las mujeres, de su empoderamiento y libertad económica para que puedan alcanzar sus sueños y metas, pero sobretodo de su derecho a tener una vida digna y libre de violencia.</w:t>
      </w:r>
    </w:p>
    <w:p w14:paraId="68E917B4" w14:textId="77777777" w:rsidR="002904E5" w:rsidRDefault="00F110A2" w:rsidP="003F29BB">
      <w:pPr>
        <w:spacing w:line="360" w:lineRule="auto"/>
        <w:jc w:val="both"/>
        <w:rPr>
          <w:rFonts w:ascii="Arial" w:eastAsia="Calibri" w:hAnsi="Arial" w:cs="Arial"/>
          <w:bCs/>
          <w:sz w:val="26"/>
          <w:szCs w:val="26"/>
        </w:rPr>
      </w:pPr>
      <w:r w:rsidRPr="002904E5">
        <w:rPr>
          <w:rFonts w:ascii="Arial" w:eastAsia="Calibri" w:hAnsi="Arial" w:cs="Arial"/>
          <w:sz w:val="26"/>
          <w:szCs w:val="26"/>
        </w:rPr>
        <w:t xml:space="preserve">Por lo anterior expuesto, pongo a la consideración de este Honorable Congreso del Estado </w:t>
      </w:r>
      <w:r w:rsidR="002904E5" w:rsidRPr="002904E5">
        <w:rPr>
          <w:rFonts w:ascii="Arial" w:eastAsia="Calibri" w:hAnsi="Arial" w:cs="Arial"/>
          <w:sz w:val="26"/>
          <w:szCs w:val="26"/>
        </w:rPr>
        <w:t>el</w:t>
      </w:r>
      <w:r w:rsidRPr="002904E5">
        <w:rPr>
          <w:rFonts w:ascii="Arial" w:eastAsia="Calibri" w:hAnsi="Arial" w:cs="Arial"/>
          <w:sz w:val="26"/>
          <w:szCs w:val="26"/>
        </w:rPr>
        <w:t xml:space="preserve"> </w:t>
      </w:r>
      <w:r w:rsidR="00E30DE8" w:rsidRPr="00E30DE8">
        <w:rPr>
          <w:rFonts w:ascii="Arial" w:hAnsi="Arial" w:cs="Arial"/>
          <w:b/>
          <w:sz w:val="26"/>
          <w:szCs w:val="26"/>
        </w:rPr>
        <w:t>PROYECTO DE DECRETO POR EL QUE SE REFORMAN EL ARTÍCULO 20 Y EL ARTÍCULO 61 AMBOS DE LA LEY DE ACCESO DE LAS MUJERES A UNA VIDA LIBRE DE VIOLENCIA DEL ESTADO DE YUCATAN, en materia de libertad económica de las mujeres víctimas de violencia</w:t>
      </w:r>
      <w:r w:rsidR="00E30DE8">
        <w:rPr>
          <w:rFonts w:ascii="Arial" w:hAnsi="Arial" w:cs="Arial"/>
          <w:b/>
          <w:sz w:val="26"/>
          <w:szCs w:val="26"/>
        </w:rPr>
        <w:t xml:space="preserve"> </w:t>
      </w:r>
      <w:r w:rsidRPr="002904E5">
        <w:rPr>
          <w:rFonts w:ascii="Arial" w:eastAsia="Calibri" w:hAnsi="Arial" w:cs="Arial"/>
          <w:sz w:val="26"/>
          <w:szCs w:val="26"/>
          <w:lang w:eastAsia="es-MX"/>
        </w:rPr>
        <w:t xml:space="preserve">para </w:t>
      </w:r>
      <w:r w:rsidRPr="002904E5">
        <w:rPr>
          <w:rFonts w:ascii="Arial" w:eastAsia="Calibri" w:hAnsi="Arial" w:cs="Arial"/>
          <w:bCs/>
          <w:sz w:val="26"/>
          <w:szCs w:val="26"/>
        </w:rPr>
        <w:t>quedar como sigue:</w:t>
      </w:r>
    </w:p>
    <w:p w14:paraId="513F3B57" w14:textId="77777777" w:rsidR="002D0E20" w:rsidRPr="004949E6" w:rsidRDefault="002D0E20" w:rsidP="003F29BB">
      <w:pPr>
        <w:spacing w:line="360" w:lineRule="auto"/>
        <w:jc w:val="both"/>
        <w:rPr>
          <w:rFonts w:ascii="Arial" w:eastAsia="Calibri" w:hAnsi="Arial" w:cs="Arial"/>
          <w:bCs/>
          <w:sz w:val="26"/>
          <w:szCs w:val="26"/>
        </w:rPr>
      </w:pPr>
    </w:p>
    <w:p w14:paraId="01D4687A" w14:textId="77777777" w:rsidR="00E30DE8" w:rsidRDefault="009D3E3E" w:rsidP="00E30DE8">
      <w:pPr>
        <w:shd w:val="clear" w:color="auto" w:fill="FFFFFF"/>
        <w:spacing w:line="360" w:lineRule="auto"/>
        <w:jc w:val="both"/>
      </w:pPr>
      <w:r w:rsidRPr="009D3E3E">
        <w:rPr>
          <w:rFonts w:ascii="Arial" w:eastAsia="Times New Roman" w:hAnsi="Arial" w:cs="Arial"/>
          <w:b/>
          <w:bCs/>
          <w:sz w:val="26"/>
          <w:szCs w:val="26"/>
          <w:lang w:eastAsia="es-MX"/>
        </w:rPr>
        <w:t xml:space="preserve">ARTÍCULO PRIMERO. </w:t>
      </w:r>
      <w:r w:rsidR="00E30DE8" w:rsidRPr="00E30DE8">
        <w:rPr>
          <w:rFonts w:ascii="Arial" w:eastAsia="Times New Roman" w:hAnsi="Arial" w:cs="Arial"/>
          <w:b/>
          <w:bCs/>
          <w:sz w:val="26"/>
          <w:szCs w:val="26"/>
          <w:lang w:eastAsia="es-MX"/>
        </w:rPr>
        <w:t>Se reforma la fracción VII y se recorre su contenido para pasar a ser la fracción VIII del Artículo 20 y se adiciona un último párrafo al artículo 61, ambos de la Ley de Acceso de las Mujeres a una Vida Libre de Violencia</w:t>
      </w:r>
      <w:r w:rsidR="00E30DE8">
        <w:rPr>
          <w:rFonts w:ascii="Arial" w:eastAsia="Times New Roman" w:hAnsi="Arial" w:cs="Arial"/>
          <w:b/>
          <w:bCs/>
          <w:sz w:val="26"/>
          <w:szCs w:val="26"/>
          <w:lang w:eastAsia="es-MX"/>
        </w:rPr>
        <w:t xml:space="preserve"> del Estado de Yucatán</w:t>
      </w:r>
      <w:r w:rsidR="00E30DE8" w:rsidRPr="00E30DE8">
        <w:rPr>
          <w:rFonts w:ascii="Arial" w:eastAsia="Times New Roman" w:hAnsi="Arial" w:cs="Arial"/>
          <w:b/>
          <w:bCs/>
          <w:sz w:val="26"/>
          <w:szCs w:val="26"/>
          <w:lang w:eastAsia="es-MX"/>
        </w:rPr>
        <w:t>.</w:t>
      </w:r>
      <w:r w:rsidR="00E30DE8" w:rsidRPr="00E30DE8">
        <w:t xml:space="preserve"> </w:t>
      </w:r>
    </w:p>
    <w:p w14:paraId="4CB8CB10" w14:textId="77777777" w:rsidR="00E30DE8" w:rsidRDefault="00E30DE8" w:rsidP="00E30DE8">
      <w:pPr>
        <w:shd w:val="clear" w:color="auto" w:fill="FFFFFF"/>
        <w:spacing w:line="360" w:lineRule="auto"/>
        <w:jc w:val="both"/>
      </w:pPr>
    </w:p>
    <w:p w14:paraId="68530E3D" w14:textId="77777777" w:rsidR="00E30DE8" w:rsidRPr="00E30DE8" w:rsidRDefault="00E30DE8" w:rsidP="00E30DE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es-MX"/>
        </w:rPr>
        <w:t>Artículo 20.- (…)</w:t>
      </w:r>
    </w:p>
    <w:p w14:paraId="55561A71" w14:textId="77777777" w:rsidR="00E30DE8" w:rsidRPr="00E30DE8" w:rsidRDefault="00E30DE8" w:rsidP="00E30DE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  <w:r w:rsidRPr="00E30DE8">
        <w:rPr>
          <w:rFonts w:ascii="Arial" w:eastAsia="Times New Roman" w:hAnsi="Arial" w:cs="Arial"/>
          <w:b/>
          <w:bCs/>
          <w:sz w:val="26"/>
          <w:szCs w:val="26"/>
          <w:lang w:eastAsia="es-MX"/>
        </w:rPr>
        <w:t>D</w:t>
      </w:r>
      <w:r>
        <w:rPr>
          <w:rFonts w:ascii="Arial" w:eastAsia="Times New Roman" w:hAnsi="Arial" w:cs="Arial"/>
          <w:b/>
          <w:bCs/>
          <w:sz w:val="26"/>
          <w:szCs w:val="26"/>
          <w:lang w:eastAsia="es-MX"/>
        </w:rPr>
        <w:t>e la fracción I.- a la VI.- (…)</w:t>
      </w:r>
    </w:p>
    <w:p w14:paraId="63414A8C" w14:textId="77777777" w:rsidR="00E30DE8" w:rsidRDefault="00E30DE8" w:rsidP="00E30DE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  <w:r w:rsidRPr="00E30DE8">
        <w:rPr>
          <w:rFonts w:ascii="Arial" w:eastAsia="Times New Roman" w:hAnsi="Arial" w:cs="Arial"/>
          <w:b/>
          <w:bCs/>
          <w:sz w:val="26"/>
          <w:szCs w:val="26"/>
          <w:lang w:eastAsia="es-MX"/>
        </w:rPr>
        <w:t>VII.- Fomentar en coordinación con la Secretaría de las Mujeres, la impartición de capacitaciones, cursos o talleres en los refugios temporales, para que las mujeres víctimas de violencia puedan adquirir conocimientos para el desempeño de una actividad lab</w:t>
      </w:r>
      <w:r>
        <w:rPr>
          <w:rFonts w:ascii="Arial" w:eastAsia="Times New Roman" w:hAnsi="Arial" w:cs="Arial"/>
          <w:b/>
          <w:bCs/>
          <w:sz w:val="26"/>
          <w:szCs w:val="26"/>
          <w:lang w:eastAsia="es-MX"/>
        </w:rPr>
        <w:t xml:space="preserve">oral. </w:t>
      </w:r>
    </w:p>
    <w:p w14:paraId="5AD5D378" w14:textId="77777777" w:rsidR="002D0E20" w:rsidRPr="00E30DE8" w:rsidRDefault="002D0E20" w:rsidP="00E30DE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</w:p>
    <w:p w14:paraId="581E9109" w14:textId="77777777" w:rsidR="00E30DE8" w:rsidRDefault="00E30DE8" w:rsidP="00E30DE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  <w:r w:rsidRPr="00E30DE8">
        <w:rPr>
          <w:rFonts w:ascii="Arial" w:eastAsia="Times New Roman" w:hAnsi="Arial" w:cs="Arial"/>
          <w:b/>
          <w:bCs/>
          <w:sz w:val="26"/>
          <w:szCs w:val="26"/>
          <w:lang w:eastAsia="es-MX"/>
        </w:rPr>
        <w:t>La capacitación laboral dentro de los refugios temporales podrá incluir todas aquellas acciones que permitan a las victimas su inserción labor</w:t>
      </w:r>
      <w:r>
        <w:rPr>
          <w:rFonts w:ascii="Arial" w:eastAsia="Times New Roman" w:hAnsi="Arial" w:cs="Arial"/>
          <w:b/>
          <w:bCs/>
          <w:sz w:val="26"/>
          <w:szCs w:val="26"/>
          <w:lang w:eastAsia="es-MX"/>
        </w:rPr>
        <w:t xml:space="preserve">al y empoderamiento económico. </w:t>
      </w:r>
    </w:p>
    <w:p w14:paraId="27AEFC6F" w14:textId="77777777" w:rsidR="002D0E20" w:rsidRPr="00E30DE8" w:rsidRDefault="002D0E20" w:rsidP="00E30DE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</w:p>
    <w:p w14:paraId="7F16F2F4" w14:textId="77777777" w:rsidR="00E30DE8" w:rsidRPr="00E30DE8" w:rsidRDefault="00E30DE8" w:rsidP="00E30DE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  <w:r w:rsidRPr="00E30DE8">
        <w:rPr>
          <w:rFonts w:ascii="Arial" w:eastAsia="Times New Roman" w:hAnsi="Arial" w:cs="Arial"/>
          <w:b/>
          <w:bCs/>
          <w:sz w:val="26"/>
          <w:szCs w:val="26"/>
          <w:lang w:eastAsia="es-MX"/>
        </w:rPr>
        <w:t>VIII.- Las demás que le confiera esta ley y otras disposiciones legales normativas.</w:t>
      </w:r>
    </w:p>
    <w:p w14:paraId="2E738988" w14:textId="77777777" w:rsidR="00E30DE8" w:rsidRPr="00E30DE8" w:rsidRDefault="00E30DE8" w:rsidP="00E30DE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</w:p>
    <w:p w14:paraId="216FE8DF" w14:textId="77777777" w:rsidR="00E30DE8" w:rsidRDefault="00E30DE8" w:rsidP="00E30DE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es-MX"/>
        </w:rPr>
        <w:t>Artículo 61. (…)</w:t>
      </w:r>
    </w:p>
    <w:p w14:paraId="5D456AE8" w14:textId="77777777" w:rsidR="002D0E20" w:rsidRPr="00E30DE8" w:rsidRDefault="002D0E20" w:rsidP="00E30DE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</w:p>
    <w:p w14:paraId="4B233374" w14:textId="77777777" w:rsidR="00E30DE8" w:rsidRDefault="00E30DE8" w:rsidP="00E30DE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es-MX"/>
        </w:rPr>
        <w:t>(…)</w:t>
      </w:r>
    </w:p>
    <w:p w14:paraId="2079B592" w14:textId="77777777" w:rsidR="002D0E20" w:rsidRPr="00E30DE8" w:rsidRDefault="002D0E20" w:rsidP="00E30DE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</w:p>
    <w:p w14:paraId="78376000" w14:textId="77777777" w:rsidR="00E30DE8" w:rsidRPr="00E30DE8" w:rsidRDefault="00E30DE8" w:rsidP="00E30DE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  <w:r w:rsidRPr="00E30DE8">
        <w:rPr>
          <w:rFonts w:ascii="Arial" w:eastAsia="Times New Roman" w:hAnsi="Arial" w:cs="Arial"/>
          <w:b/>
          <w:bCs/>
          <w:sz w:val="26"/>
          <w:szCs w:val="26"/>
          <w:lang w:eastAsia="es-MX"/>
        </w:rPr>
        <w:t>D</w:t>
      </w:r>
      <w:r>
        <w:rPr>
          <w:rFonts w:ascii="Arial" w:eastAsia="Times New Roman" w:hAnsi="Arial" w:cs="Arial"/>
          <w:b/>
          <w:bCs/>
          <w:sz w:val="26"/>
          <w:szCs w:val="26"/>
          <w:lang w:eastAsia="es-MX"/>
        </w:rPr>
        <w:t>e la fracción I.- a la XI.- (…)</w:t>
      </w:r>
    </w:p>
    <w:p w14:paraId="7F6AE884" w14:textId="77777777" w:rsidR="00E30DE8" w:rsidRDefault="00E30DE8" w:rsidP="00E30DE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  <w:r w:rsidRPr="00E30DE8">
        <w:rPr>
          <w:rFonts w:ascii="Arial" w:eastAsia="Times New Roman" w:hAnsi="Arial" w:cs="Arial"/>
          <w:b/>
          <w:bCs/>
          <w:sz w:val="26"/>
          <w:szCs w:val="26"/>
          <w:lang w:eastAsia="es-MX"/>
        </w:rPr>
        <w:t>(…)</w:t>
      </w:r>
    </w:p>
    <w:p w14:paraId="43670E5B" w14:textId="77777777" w:rsidR="002D0E20" w:rsidRPr="00E30DE8" w:rsidRDefault="002D0E20" w:rsidP="00E30DE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</w:p>
    <w:p w14:paraId="639EA361" w14:textId="77777777" w:rsidR="00E30DE8" w:rsidRPr="00E30DE8" w:rsidRDefault="00E30DE8" w:rsidP="00E30DE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</w:p>
    <w:p w14:paraId="57EEB6C6" w14:textId="77777777" w:rsidR="00E30DE8" w:rsidRPr="00E30DE8" w:rsidRDefault="00E30DE8" w:rsidP="00E30DE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  <w:r w:rsidRPr="00E30DE8">
        <w:rPr>
          <w:rFonts w:ascii="Arial" w:eastAsia="Times New Roman" w:hAnsi="Arial" w:cs="Arial"/>
          <w:b/>
          <w:bCs/>
          <w:sz w:val="26"/>
          <w:szCs w:val="26"/>
          <w:lang w:eastAsia="es-MX"/>
        </w:rPr>
        <w:t>Asimismo, deberán proporcionar toda la información para el acceso a programas sociales, de proyectos productivos o desarrollo económico, que brinden el Gobierno Federal, Estatal y/o Municipal.</w:t>
      </w:r>
    </w:p>
    <w:p w14:paraId="7BE6B167" w14:textId="77777777" w:rsidR="00C43910" w:rsidRPr="006F5089" w:rsidRDefault="00C43910" w:rsidP="008561FF">
      <w:pPr>
        <w:spacing w:after="0" w:line="120" w:lineRule="auto"/>
        <w:jc w:val="both"/>
        <w:rPr>
          <w:rFonts w:ascii="Arial" w:hAnsi="Arial" w:cs="Arial"/>
          <w:b/>
          <w:sz w:val="26"/>
          <w:szCs w:val="26"/>
        </w:rPr>
      </w:pPr>
    </w:p>
    <w:p w14:paraId="5C30B6B3" w14:textId="77777777" w:rsidR="00441DE2" w:rsidRPr="006F5089" w:rsidRDefault="00441DE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53DDDBA6" w14:textId="77777777" w:rsidR="00121383" w:rsidRDefault="008561FF" w:rsidP="008E0068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6F5089">
        <w:rPr>
          <w:rFonts w:ascii="Arial" w:hAnsi="Arial" w:cs="Arial"/>
          <w:b/>
          <w:bCs/>
          <w:sz w:val="26"/>
          <w:szCs w:val="26"/>
        </w:rPr>
        <w:t>ARTÍCULOS TRANSITORIOS</w:t>
      </w:r>
    </w:p>
    <w:p w14:paraId="01405B5B" w14:textId="77777777" w:rsidR="00121383" w:rsidRPr="006F5089" w:rsidRDefault="00121383" w:rsidP="00C125C4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CFD62B1" w14:textId="77777777" w:rsidR="008561FF" w:rsidRDefault="008561FF" w:rsidP="008561FF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F5089">
        <w:rPr>
          <w:rFonts w:ascii="Arial" w:hAnsi="Arial" w:cs="Arial"/>
          <w:b/>
          <w:bCs/>
          <w:sz w:val="26"/>
          <w:szCs w:val="26"/>
        </w:rPr>
        <w:t xml:space="preserve">PRIMERO. - </w:t>
      </w:r>
      <w:r w:rsidRPr="006F5089">
        <w:rPr>
          <w:rFonts w:ascii="Arial" w:hAnsi="Arial" w:cs="Arial"/>
          <w:bCs/>
          <w:sz w:val="26"/>
          <w:szCs w:val="26"/>
        </w:rPr>
        <w:t>El presente decreto entrará en vigor al día siguiente de su publicación en el Diario Oficial del Estado de Yucatán.</w:t>
      </w:r>
    </w:p>
    <w:p w14:paraId="3FBFCF5B" w14:textId="77777777" w:rsidR="00E353D1" w:rsidRDefault="00E353D1" w:rsidP="008561FF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3C82BE19" w14:textId="77777777" w:rsidR="00E05978" w:rsidRPr="006F5089" w:rsidRDefault="00E05978" w:rsidP="008561FF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7EC393C1" w14:textId="77777777" w:rsidR="008561FF" w:rsidRPr="006F5089" w:rsidRDefault="008561FF" w:rsidP="008561FF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F5089">
        <w:rPr>
          <w:rFonts w:ascii="Arial" w:hAnsi="Arial" w:cs="Arial"/>
          <w:b/>
          <w:bCs/>
          <w:sz w:val="26"/>
          <w:szCs w:val="26"/>
        </w:rPr>
        <w:t xml:space="preserve">SEGUNDO. – </w:t>
      </w:r>
      <w:r w:rsidRPr="006F5089">
        <w:rPr>
          <w:rFonts w:ascii="Arial" w:hAnsi="Arial" w:cs="Arial"/>
          <w:bCs/>
          <w:sz w:val="26"/>
          <w:szCs w:val="26"/>
        </w:rPr>
        <w:t>Se derogan todas las disposiciones que se opongan al presente Decreto.</w:t>
      </w:r>
    </w:p>
    <w:p w14:paraId="300848AD" w14:textId="77777777" w:rsidR="008561FF" w:rsidRPr="006F5089" w:rsidRDefault="008561FF" w:rsidP="008561FF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48D8EE89" w14:textId="77777777" w:rsidR="008561FF" w:rsidRPr="006F5089" w:rsidRDefault="008561FF" w:rsidP="008561FF">
      <w:pPr>
        <w:spacing w:after="0"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6F5089">
        <w:rPr>
          <w:rFonts w:ascii="Arial" w:hAnsi="Arial" w:cs="Arial"/>
          <w:b/>
          <w:bCs/>
          <w:sz w:val="26"/>
          <w:szCs w:val="26"/>
        </w:rPr>
        <w:t xml:space="preserve">Dado en la sede del Recinto del Poder Legislativo, en la Ciudad de Mérida, Yucatán a los </w:t>
      </w:r>
      <w:r w:rsidR="003F29BB">
        <w:rPr>
          <w:rFonts w:ascii="Arial" w:hAnsi="Arial" w:cs="Arial"/>
          <w:b/>
          <w:bCs/>
          <w:sz w:val="26"/>
          <w:szCs w:val="26"/>
        </w:rPr>
        <w:t>14 días del mes de octubre</w:t>
      </w:r>
      <w:r w:rsidR="0048032A">
        <w:rPr>
          <w:rFonts w:ascii="Arial" w:hAnsi="Arial" w:cs="Arial"/>
          <w:b/>
          <w:bCs/>
          <w:sz w:val="26"/>
          <w:szCs w:val="26"/>
        </w:rPr>
        <w:t xml:space="preserve"> del 2025</w:t>
      </w:r>
      <w:r w:rsidRPr="006F5089">
        <w:rPr>
          <w:rFonts w:ascii="Arial" w:hAnsi="Arial" w:cs="Arial"/>
          <w:b/>
          <w:bCs/>
          <w:sz w:val="26"/>
          <w:szCs w:val="26"/>
        </w:rPr>
        <w:t>.</w:t>
      </w:r>
    </w:p>
    <w:p w14:paraId="4543E7DE" w14:textId="77777777" w:rsidR="008561FF" w:rsidRPr="006F5089" w:rsidRDefault="008561FF" w:rsidP="008561FF">
      <w:pPr>
        <w:spacing w:after="0" w:line="36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59231147" w14:textId="77777777" w:rsidR="00FD55CC" w:rsidRPr="001A656D" w:rsidRDefault="00FD55CC" w:rsidP="00FD55CC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656D">
        <w:rPr>
          <w:rFonts w:ascii="Arial" w:hAnsi="Arial" w:cs="Arial"/>
          <w:b/>
          <w:bCs/>
          <w:sz w:val="24"/>
          <w:szCs w:val="24"/>
        </w:rPr>
        <w:t>ATENTAMENTE</w:t>
      </w:r>
    </w:p>
    <w:p w14:paraId="315AC4A2" w14:textId="77777777" w:rsidR="00FD55CC" w:rsidRPr="001A656D" w:rsidRDefault="00FD55CC" w:rsidP="00FD55CC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364DA7" w14:textId="77777777" w:rsidR="00FD55CC" w:rsidRPr="001A656D" w:rsidRDefault="00FD55CC" w:rsidP="00FD55CC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4DA820" w14:textId="77777777" w:rsidR="00FD55CC" w:rsidRPr="001A656D" w:rsidRDefault="00FD55CC" w:rsidP="00FD55CC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sz w:val="24"/>
          <w:szCs w:val="24"/>
        </w:rPr>
      </w:pPr>
    </w:p>
    <w:p w14:paraId="5637D720" w14:textId="77777777" w:rsidR="00FD55CC" w:rsidRPr="001A656D" w:rsidRDefault="00FD55CC" w:rsidP="00FD55CC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A656D">
        <w:rPr>
          <w:rFonts w:ascii="Arial" w:hAnsi="Arial" w:cs="Arial"/>
          <w:b/>
          <w:bCs/>
          <w:sz w:val="24"/>
          <w:szCs w:val="24"/>
        </w:rPr>
        <w:t>_____________________________________</w:t>
      </w:r>
    </w:p>
    <w:p w14:paraId="3744CF00" w14:textId="219751EE" w:rsidR="00FD55CC" w:rsidRDefault="004813F4" w:rsidP="00FD55CC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DIP. NAOMI RAQUEL PENICHE LÓPEZ </w:t>
      </w:r>
    </w:p>
    <w:p w14:paraId="7A0CC418" w14:textId="23059901" w:rsidR="00FD55CC" w:rsidRPr="001A656D" w:rsidRDefault="004813F4" w:rsidP="00FD55CC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INTEGRANTE DE LA FRACCIÓN LEGISLATIVA DE MORENA </w:t>
      </w:r>
    </w:p>
    <w:p w14:paraId="56CBBD43" w14:textId="77777777" w:rsidR="00FD55CC" w:rsidRPr="001A656D" w:rsidRDefault="00FD55CC" w:rsidP="00FD55CC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1288695" w14:textId="77777777" w:rsidR="00FD55CC" w:rsidRPr="001A656D" w:rsidRDefault="00FD55CC" w:rsidP="00FD55CC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BFFAC3" w14:textId="77777777" w:rsidR="00FD55CC" w:rsidRPr="001A656D" w:rsidRDefault="00FD55CC" w:rsidP="00FD55CC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203F59C" w14:textId="77777777" w:rsidR="00FD55CC" w:rsidRPr="001A656D" w:rsidRDefault="00FD55CC" w:rsidP="00FD55CC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CF25BA8" w14:textId="77777777" w:rsidR="00FD55CC" w:rsidRPr="001A656D" w:rsidRDefault="00FD55CC" w:rsidP="00FD55CC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8B30AC9" w14:textId="77777777" w:rsidR="00FD55CC" w:rsidRPr="001A656D" w:rsidRDefault="00FD55CC" w:rsidP="00FD55CC">
      <w:pPr>
        <w:autoSpaceDE w:val="0"/>
        <w:autoSpaceDN w:val="0"/>
        <w:adjustRightInd w:val="0"/>
        <w:spacing w:before="240" w:afterLines="160" w:after="384" w:line="276" w:lineRule="auto"/>
        <w:ind w:left="14" w:right="9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88903C4" w14:textId="77777777" w:rsidR="008561FF" w:rsidRPr="00C125C4" w:rsidRDefault="008561FF" w:rsidP="00C125C4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sectPr w:rsidR="008561FF" w:rsidRPr="00C125C4" w:rsidSect="006F779D">
      <w:headerReference w:type="default" r:id="rId7"/>
      <w:footerReference w:type="default" r:id="rId8"/>
      <w:pgSz w:w="12240" w:h="15840"/>
      <w:pgMar w:top="2977" w:right="1701" w:bottom="1702" w:left="1701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BA5F6" w14:textId="77777777" w:rsidR="00631054" w:rsidRDefault="00631054" w:rsidP="00E52270">
      <w:pPr>
        <w:spacing w:after="0" w:line="240" w:lineRule="auto"/>
      </w:pPr>
      <w:r>
        <w:separator/>
      </w:r>
    </w:p>
  </w:endnote>
  <w:endnote w:type="continuationSeparator" w:id="0">
    <w:p w14:paraId="30142032" w14:textId="77777777" w:rsidR="00631054" w:rsidRDefault="00631054" w:rsidP="00E5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004212"/>
      <w:docPartObj>
        <w:docPartGallery w:val="Page Numbers (Bottom of Page)"/>
        <w:docPartUnique/>
      </w:docPartObj>
    </w:sdtPr>
    <w:sdtContent>
      <w:p w14:paraId="708482EB" w14:textId="77777777" w:rsidR="003F199B" w:rsidRDefault="003F199B">
        <w:pPr>
          <w:pStyle w:val="Piedepgina"/>
          <w:jc w:val="right"/>
        </w:pPr>
        <w:r>
          <w:rPr>
            <w:noProof/>
            <w:lang w:eastAsia="es-MX"/>
          </w:rPr>
          <w:drawing>
            <wp:anchor distT="0" distB="0" distL="114300" distR="114300" simplePos="0" relativeHeight="251664384" behindDoc="1" locked="0" layoutInCell="1" allowOverlap="1" wp14:anchorId="614C27EB" wp14:editId="41A43EC2">
              <wp:simplePos x="0" y="0"/>
              <wp:positionH relativeFrom="column">
                <wp:posOffset>2142980</wp:posOffset>
              </wp:positionH>
              <wp:positionV relativeFrom="paragraph">
                <wp:posOffset>-313004</wp:posOffset>
              </wp:positionV>
              <wp:extent cx="1258214" cy="590059"/>
              <wp:effectExtent l="0" t="0" r="0" b="635"/>
              <wp:wrapNone/>
              <wp:docPr id="66" name="Imagen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Morena_logo_(Mexico).svg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4812" r="-3265" b="22120"/>
                      <a:stretch/>
                    </pic:blipFill>
                    <pic:spPr bwMode="auto">
                      <a:xfrm>
                        <a:off x="0" y="0"/>
                        <a:ext cx="1258214" cy="590059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D64CB" w:rsidRPr="001D64CB">
          <w:rPr>
            <w:noProof/>
            <w:lang w:val="es-ES"/>
          </w:rPr>
          <w:t>11</w:t>
        </w:r>
        <w:r>
          <w:fldChar w:fldCharType="end"/>
        </w:r>
      </w:p>
    </w:sdtContent>
  </w:sdt>
  <w:p w14:paraId="269F59E6" w14:textId="77777777" w:rsidR="003F199B" w:rsidRDefault="003F19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D9FA" w14:textId="77777777" w:rsidR="00631054" w:rsidRDefault="00631054" w:rsidP="00E52270">
      <w:pPr>
        <w:spacing w:after="0" w:line="240" w:lineRule="auto"/>
      </w:pPr>
      <w:r>
        <w:separator/>
      </w:r>
    </w:p>
  </w:footnote>
  <w:footnote w:type="continuationSeparator" w:id="0">
    <w:p w14:paraId="1126BC68" w14:textId="77777777" w:rsidR="00631054" w:rsidRDefault="00631054" w:rsidP="00E5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F4FB" w14:textId="77777777" w:rsidR="003F199B" w:rsidRDefault="006F779D" w:rsidP="00A42BFA">
    <w:pPr>
      <w:pStyle w:val="Encabezado"/>
      <w:tabs>
        <w:tab w:val="clear" w:pos="4419"/>
        <w:tab w:val="clear" w:pos="8838"/>
        <w:tab w:val="left" w:pos="6399"/>
      </w:tabs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0441B54B" wp14:editId="67D4A44F">
          <wp:simplePos x="0" y="0"/>
          <wp:positionH relativeFrom="column">
            <wp:posOffset>4526928</wp:posOffset>
          </wp:positionH>
          <wp:positionV relativeFrom="paragraph">
            <wp:posOffset>9896</wp:posOffset>
          </wp:positionV>
          <wp:extent cx="1587398" cy="697924"/>
          <wp:effectExtent l="0" t="0" r="0" b="6985"/>
          <wp:wrapNone/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jf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54" r="15383" b="47014"/>
                  <a:stretch/>
                </pic:blipFill>
                <pic:spPr bwMode="auto">
                  <a:xfrm>
                    <a:off x="0" y="0"/>
                    <a:ext cx="1587398" cy="6979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63B04F07" wp14:editId="7DD4A1B2">
          <wp:simplePos x="0" y="0"/>
          <wp:positionH relativeFrom="column">
            <wp:posOffset>-753632</wp:posOffset>
          </wp:positionH>
          <wp:positionV relativeFrom="paragraph">
            <wp:posOffset>-64512</wp:posOffset>
          </wp:positionV>
          <wp:extent cx="3160166" cy="859946"/>
          <wp:effectExtent l="0" t="0" r="2540" b="0"/>
          <wp:wrapNone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main-gra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0166" cy="859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99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70"/>
    <w:rsid w:val="000068E3"/>
    <w:rsid w:val="00007F82"/>
    <w:rsid w:val="00026112"/>
    <w:rsid w:val="0003492A"/>
    <w:rsid w:val="00041160"/>
    <w:rsid w:val="000513C3"/>
    <w:rsid w:val="00066E63"/>
    <w:rsid w:val="0007072A"/>
    <w:rsid w:val="00090753"/>
    <w:rsid w:val="000A4860"/>
    <w:rsid w:val="000B4FBB"/>
    <w:rsid w:val="000E719C"/>
    <w:rsid w:val="000F70F4"/>
    <w:rsid w:val="00104126"/>
    <w:rsid w:val="0010679D"/>
    <w:rsid w:val="00121383"/>
    <w:rsid w:val="00121F92"/>
    <w:rsid w:val="00124025"/>
    <w:rsid w:val="00137A73"/>
    <w:rsid w:val="001857C0"/>
    <w:rsid w:val="00193557"/>
    <w:rsid w:val="001D64CB"/>
    <w:rsid w:val="00201EFE"/>
    <w:rsid w:val="00207FFC"/>
    <w:rsid w:val="00220D30"/>
    <w:rsid w:val="00234ACB"/>
    <w:rsid w:val="002617C0"/>
    <w:rsid w:val="002904E5"/>
    <w:rsid w:val="002B335B"/>
    <w:rsid w:val="002C1E37"/>
    <w:rsid w:val="002D0E20"/>
    <w:rsid w:val="002D5D19"/>
    <w:rsid w:val="003116A0"/>
    <w:rsid w:val="0033221F"/>
    <w:rsid w:val="00344610"/>
    <w:rsid w:val="00363C02"/>
    <w:rsid w:val="0037107D"/>
    <w:rsid w:val="003B59D7"/>
    <w:rsid w:val="003D29ED"/>
    <w:rsid w:val="003E6A23"/>
    <w:rsid w:val="003F199B"/>
    <w:rsid w:val="003F29BB"/>
    <w:rsid w:val="003F3631"/>
    <w:rsid w:val="00400C9E"/>
    <w:rsid w:val="00405EE9"/>
    <w:rsid w:val="00416338"/>
    <w:rsid w:val="0043105B"/>
    <w:rsid w:val="00440C02"/>
    <w:rsid w:val="00441DE2"/>
    <w:rsid w:val="004446E3"/>
    <w:rsid w:val="00447610"/>
    <w:rsid w:val="00453FDF"/>
    <w:rsid w:val="004566DC"/>
    <w:rsid w:val="004745B5"/>
    <w:rsid w:val="0048032A"/>
    <w:rsid w:val="004813F4"/>
    <w:rsid w:val="00482064"/>
    <w:rsid w:val="00485465"/>
    <w:rsid w:val="004949E6"/>
    <w:rsid w:val="004B190F"/>
    <w:rsid w:val="004E58CB"/>
    <w:rsid w:val="004F3C20"/>
    <w:rsid w:val="004F5398"/>
    <w:rsid w:val="0050595A"/>
    <w:rsid w:val="00511113"/>
    <w:rsid w:val="005209B5"/>
    <w:rsid w:val="0053346B"/>
    <w:rsid w:val="0057165F"/>
    <w:rsid w:val="0059481E"/>
    <w:rsid w:val="0059500C"/>
    <w:rsid w:val="005A7471"/>
    <w:rsid w:val="00605CEA"/>
    <w:rsid w:val="00631054"/>
    <w:rsid w:val="00632550"/>
    <w:rsid w:val="00660B64"/>
    <w:rsid w:val="006623C5"/>
    <w:rsid w:val="006845AF"/>
    <w:rsid w:val="006A0601"/>
    <w:rsid w:val="006C3410"/>
    <w:rsid w:val="006C6792"/>
    <w:rsid w:val="006E6774"/>
    <w:rsid w:val="006F0290"/>
    <w:rsid w:val="006F20F1"/>
    <w:rsid w:val="006F5089"/>
    <w:rsid w:val="006F779D"/>
    <w:rsid w:val="0070166A"/>
    <w:rsid w:val="00715EEB"/>
    <w:rsid w:val="007178F9"/>
    <w:rsid w:val="007629A4"/>
    <w:rsid w:val="0076494E"/>
    <w:rsid w:val="007814A7"/>
    <w:rsid w:val="007A3B42"/>
    <w:rsid w:val="007F3C6F"/>
    <w:rsid w:val="007F778C"/>
    <w:rsid w:val="00806025"/>
    <w:rsid w:val="008158A6"/>
    <w:rsid w:val="008159F6"/>
    <w:rsid w:val="008314CE"/>
    <w:rsid w:val="0084138F"/>
    <w:rsid w:val="00854E71"/>
    <w:rsid w:val="008561FF"/>
    <w:rsid w:val="008B2F2B"/>
    <w:rsid w:val="008C2576"/>
    <w:rsid w:val="008D76A6"/>
    <w:rsid w:val="008E0068"/>
    <w:rsid w:val="009005E9"/>
    <w:rsid w:val="00906C4D"/>
    <w:rsid w:val="0093112C"/>
    <w:rsid w:val="00934C86"/>
    <w:rsid w:val="00946478"/>
    <w:rsid w:val="00974D48"/>
    <w:rsid w:val="009D3E3E"/>
    <w:rsid w:val="009D4406"/>
    <w:rsid w:val="009F4318"/>
    <w:rsid w:val="00A3694D"/>
    <w:rsid w:val="00A42BFA"/>
    <w:rsid w:val="00A57EA6"/>
    <w:rsid w:val="00A60E74"/>
    <w:rsid w:val="00A64C2D"/>
    <w:rsid w:val="00A7315E"/>
    <w:rsid w:val="00A81039"/>
    <w:rsid w:val="00AB77A8"/>
    <w:rsid w:val="00AE141C"/>
    <w:rsid w:val="00B0747E"/>
    <w:rsid w:val="00B10590"/>
    <w:rsid w:val="00B15FF0"/>
    <w:rsid w:val="00B23DB9"/>
    <w:rsid w:val="00B446E6"/>
    <w:rsid w:val="00B47953"/>
    <w:rsid w:val="00B6767F"/>
    <w:rsid w:val="00B67CC3"/>
    <w:rsid w:val="00B95B00"/>
    <w:rsid w:val="00BB3C73"/>
    <w:rsid w:val="00BB4101"/>
    <w:rsid w:val="00BB4616"/>
    <w:rsid w:val="00BE1903"/>
    <w:rsid w:val="00BF33C8"/>
    <w:rsid w:val="00C125C4"/>
    <w:rsid w:val="00C35B78"/>
    <w:rsid w:val="00C43910"/>
    <w:rsid w:val="00C46912"/>
    <w:rsid w:val="00C72717"/>
    <w:rsid w:val="00C86D00"/>
    <w:rsid w:val="00C90306"/>
    <w:rsid w:val="00CB2132"/>
    <w:rsid w:val="00CC4798"/>
    <w:rsid w:val="00CD53D8"/>
    <w:rsid w:val="00CD5931"/>
    <w:rsid w:val="00CE2892"/>
    <w:rsid w:val="00CF24DA"/>
    <w:rsid w:val="00D150EA"/>
    <w:rsid w:val="00D1602F"/>
    <w:rsid w:val="00D21AAC"/>
    <w:rsid w:val="00D241BA"/>
    <w:rsid w:val="00D31BB7"/>
    <w:rsid w:val="00D32725"/>
    <w:rsid w:val="00D41D0C"/>
    <w:rsid w:val="00D83B06"/>
    <w:rsid w:val="00D866A5"/>
    <w:rsid w:val="00DD1808"/>
    <w:rsid w:val="00DD47FD"/>
    <w:rsid w:val="00E05978"/>
    <w:rsid w:val="00E215D4"/>
    <w:rsid w:val="00E2458C"/>
    <w:rsid w:val="00E30DE8"/>
    <w:rsid w:val="00E353D1"/>
    <w:rsid w:val="00E52270"/>
    <w:rsid w:val="00E56E33"/>
    <w:rsid w:val="00E66017"/>
    <w:rsid w:val="00EA68D8"/>
    <w:rsid w:val="00EB272F"/>
    <w:rsid w:val="00EB3E96"/>
    <w:rsid w:val="00EB7068"/>
    <w:rsid w:val="00EC0003"/>
    <w:rsid w:val="00EC3220"/>
    <w:rsid w:val="00EE3B76"/>
    <w:rsid w:val="00F110A2"/>
    <w:rsid w:val="00F20B54"/>
    <w:rsid w:val="00F35EF4"/>
    <w:rsid w:val="00F3635C"/>
    <w:rsid w:val="00F3751D"/>
    <w:rsid w:val="00F70A6E"/>
    <w:rsid w:val="00F869CC"/>
    <w:rsid w:val="00F9375A"/>
    <w:rsid w:val="00F95618"/>
    <w:rsid w:val="00F97200"/>
    <w:rsid w:val="00FA0B1B"/>
    <w:rsid w:val="00FA5B8B"/>
    <w:rsid w:val="00FC1421"/>
    <w:rsid w:val="00FC1CCC"/>
    <w:rsid w:val="00FD55CC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FC18E"/>
  <w15:chartTrackingRefBased/>
  <w15:docId w15:val="{F27C814A-81DB-43DD-8232-43B1602B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2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270"/>
  </w:style>
  <w:style w:type="paragraph" w:styleId="Piedepgina">
    <w:name w:val="footer"/>
    <w:basedOn w:val="Normal"/>
    <w:link w:val="PiedepginaCar"/>
    <w:uiPriority w:val="99"/>
    <w:unhideWhenUsed/>
    <w:rsid w:val="00E52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270"/>
  </w:style>
  <w:style w:type="paragraph" w:styleId="NormalWeb">
    <w:name w:val="Normal (Web)"/>
    <w:basedOn w:val="Normal"/>
    <w:uiPriority w:val="99"/>
    <w:semiHidden/>
    <w:unhideWhenUsed/>
    <w:rsid w:val="00E52270"/>
    <w:pPr>
      <w:widowControl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7A3B4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D55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8CE6B-895B-4BA7-9F76-0D3B7EEC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1118</Words>
  <Characters>6176</Characters>
  <Application>Microsoft Office Word</Application>
  <DocSecurity>0</DocSecurity>
  <Lines>325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cubiculo 1</dc:creator>
  <cp:keywords/>
  <dc:description/>
  <cp:lastModifiedBy>Jurídico Office</cp:lastModifiedBy>
  <cp:revision>2</cp:revision>
  <cp:lastPrinted>2025-10-10T18:38:00Z</cp:lastPrinted>
  <dcterms:created xsi:type="dcterms:W3CDTF">2025-10-27T19:11:00Z</dcterms:created>
  <dcterms:modified xsi:type="dcterms:W3CDTF">2025-11-04T15:55:00Z</dcterms:modified>
</cp:coreProperties>
</file>